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line="600" w:lineRule="exact"/>
        <w:jc w:val="both"/>
        <w:textAlignment w:val="auto"/>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附件2：</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第二届全省人力资源服务创新创业暨</w:t>
      </w: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技能竞赛</w:t>
      </w:r>
      <w:r>
        <w:rPr>
          <w:rFonts w:hint="eastAsia" w:ascii="方正小标宋简体" w:hAnsi="方正小标宋简体" w:eastAsia="方正小标宋简体" w:cs="方正小标宋简体"/>
          <w:sz w:val="44"/>
          <w:szCs w:val="44"/>
          <w:lang w:val="en-US" w:eastAsia="zh-CN"/>
        </w:rPr>
        <w:t>规程</w:t>
      </w:r>
    </w:p>
    <w:p>
      <w:pPr>
        <w:jc w:val="center"/>
        <w:rPr>
          <w:rFonts w:hint="eastAsia" w:ascii="方正小标宋简体" w:hAnsi="方正小标宋简体" w:eastAsia="方正小标宋简体" w:cs="方正小标宋简体"/>
          <w:sz w:val="44"/>
          <w:szCs w:val="44"/>
          <w:lang w:val="en-US" w:eastAsia="zh-CN"/>
        </w:rPr>
      </w:pPr>
    </w:p>
    <w:p>
      <w:pPr>
        <w:ind w:firstLine="548" w:firstLineChars="196"/>
        <w:rPr>
          <w:rFonts w:hint="eastAsia" w:ascii="黑体" w:eastAsia="黑体"/>
          <w:sz w:val="28"/>
        </w:rPr>
      </w:pPr>
      <w:r>
        <w:rPr>
          <w:rFonts w:hint="eastAsia" w:ascii="黑体" w:eastAsia="黑体"/>
          <w:sz w:val="28"/>
        </w:rPr>
        <w:t>一、制定标准</w:t>
      </w: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职业技能竞赛</w:t>
      </w:r>
      <w:r>
        <w:rPr>
          <w:rFonts w:hint="eastAsia" w:ascii="仿宋_GB2312" w:hAnsi="仿宋_GB2312" w:eastAsia="仿宋_GB2312" w:cs="仿宋_GB2312"/>
          <w:sz w:val="28"/>
          <w:szCs w:val="28"/>
        </w:rPr>
        <w:t>以《国家职业</w:t>
      </w:r>
      <w:r>
        <w:rPr>
          <w:rFonts w:hint="eastAsia" w:ascii="仿宋_GB2312" w:hAnsi="仿宋_GB2312" w:eastAsia="仿宋_GB2312" w:cs="仿宋_GB2312"/>
          <w:sz w:val="28"/>
          <w:szCs w:val="28"/>
          <w:lang w:val="en-US" w:eastAsia="zh-CN"/>
        </w:rPr>
        <w:t>技能</w:t>
      </w:r>
      <w:r>
        <w:rPr>
          <w:rFonts w:hint="eastAsia" w:ascii="仿宋_GB2312" w:hAnsi="仿宋_GB2312" w:eastAsia="仿宋_GB2312" w:cs="仿宋_GB2312"/>
          <w:sz w:val="28"/>
          <w:szCs w:val="28"/>
        </w:rPr>
        <w:t>标准</w:t>
      </w:r>
      <w:r>
        <w:rPr>
          <w:rFonts w:hint="eastAsia" w:ascii="仿宋_GB2312" w:hAnsi="仿宋_GB2312" w:eastAsia="仿宋_GB2312" w:cs="仿宋_GB2312"/>
          <w:sz w:val="28"/>
          <w:szCs w:val="28"/>
          <w:lang w:val="en-US" w:eastAsia="zh-CN"/>
        </w:rPr>
        <w:t>企业人力资源管理师</w:t>
      </w:r>
      <w:r>
        <w:rPr>
          <w:rFonts w:hint="eastAsia" w:ascii="仿宋_GB2312" w:hAnsi="仿宋_GB2312" w:eastAsia="仿宋_GB2312" w:cs="仿宋_GB2312"/>
          <w:sz w:val="28"/>
          <w:szCs w:val="28"/>
        </w:rPr>
        <w:t>》中</w:t>
      </w:r>
      <w:r>
        <w:rPr>
          <w:rFonts w:hint="eastAsia" w:ascii="仿宋_GB2312" w:hAnsi="仿宋_GB2312" w:eastAsia="仿宋_GB2312" w:cs="仿宋_GB2312"/>
          <w:sz w:val="28"/>
          <w:szCs w:val="28"/>
          <w:lang w:eastAsia="zh-CN"/>
        </w:rPr>
        <w:t>三级/高级工</w:t>
      </w:r>
      <w:r>
        <w:rPr>
          <w:rFonts w:hint="eastAsia" w:ascii="仿宋_GB2312" w:hAnsi="仿宋_GB2312" w:eastAsia="仿宋_GB2312" w:cs="仿宋_GB2312"/>
          <w:sz w:val="28"/>
          <w:szCs w:val="28"/>
          <w:lang w:val="en-US" w:eastAsia="zh-CN"/>
        </w:rPr>
        <w:t>及以上技能等级</w:t>
      </w:r>
      <w:r>
        <w:rPr>
          <w:rFonts w:hint="eastAsia" w:ascii="仿宋_GB2312" w:hAnsi="仿宋_GB2312" w:eastAsia="仿宋_GB2312" w:cs="仿宋_GB2312"/>
          <w:sz w:val="28"/>
          <w:szCs w:val="28"/>
        </w:rPr>
        <w:t>应具备的理论和实际操作技能要求为主要依据。</w:t>
      </w:r>
    </w:p>
    <w:p>
      <w:pPr>
        <w:numPr>
          <w:ilvl w:val="0"/>
          <w:numId w:val="0"/>
        </w:numPr>
        <w:ind w:firstLine="560" w:firstLineChars="200"/>
        <w:jc w:val="both"/>
        <w:rPr>
          <w:rFonts w:hint="eastAsia"/>
          <w:lang w:val="en-US" w:eastAsia="zh-CN"/>
        </w:rPr>
      </w:pPr>
      <w:r>
        <w:rPr>
          <w:rFonts w:hint="eastAsia" w:ascii="黑体" w:eastAsia="黑体"/>
          <w:sz w:val="28"/>
          <w:lang w:val="en-US" w:eastAsia="zh-CN"/>
        </w:rPr>
        <w:t>二、竞赛内容</w:t>
      </w: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本次竞赛主要聚焦人力资源服务各业态和人力资源管理各业务模块，以竞赛组委会下发的《竞赛大纲》（附件1）和《参考样题》（附件2）为主要内容。</w:t>
      </w:r>
    </w:p>
    <w:p>
      <w:pPr>
        <w:numPr>
          <w:ilvl w:val="0"/>
          <w:numId w:val="1"/>
        </w:numPr>
        <w:ind w:firstLine="560" w:firstLineChars="200"/>
        <w:jc w:val="both"/>
        <w:rPr>
          <w:rFonts w:hint="eastAsia" w:ascii="黑体" w:eastAsia="黑体"/>
          <w:sz w:val="28"/>
          <w:lang w:val="en-US" w:eastAsia="zh-CN"/>
        </w:rPr>
      </w:pPr>
      <w:r>
        <w:rPr>
          <w:rFonts w:hint="eastAsia" w:ascii="黑体" w:eastAsia="黑体"/>
          <w:sz w:val="28"/>
          <w:lang w:val="en-US" w:eastAsia="zh-CN"/>
        </w:rPr>
        <w:t>赛制安排</w:t>
      </w:r>
    </w:p>
    <w:p>
      <w:pPr>
        <w:pStyle w:val="8"/>
        <w:keepNext w:val="0"/>
        <w:keepLines w:val="0"/>
        <w:pageBreakBefore w:val="0"/>
        <w:widowControl/>
        <w:suppressLineNumbers w:val="0"/>
        <w:kinsoku/>
        <w:wordWrap/>
        <w:overflowPunct/>
        <w:topLinePunct w:val="0"/>
        <w:autoSpaceDE/>
        <w:autoSpaceDN/>
        <w:bidi w:val="0"/>
        <w:spacing w:before="0" w:beforeAutospacing="0" w:after="0" w:afterAutospacing="0" w:line="240" w:lineRule="auto"/>
        <w:ind w:left="0" w:right="0" w:firstLine="560" w:firstLineChars="200"/>
        <w:textAlignment w:val="auto"/>
        <w:rPr>
          <w:rFonts w:hint="eastAsia" w:ascii="仿宋_GB2312" w:hAnsi="Times New Roman" w:eastAsia="仿宋_GB2312" w:cs="Times New Roman"/>
          <w:kern w:val="2"/>
          <w:sz w:val="28"/>
          <w:szCs w:val="24"/>
          <w:lang w:val="en-US" w:eastAsia="zh-CN" w:bidi="ar-SA"/>
        </w:rPr>
      </w:pPr>
      <w:r>
        <w:rPr>
          <w:rFonts w:hint="eastAsia" w:ascii="仿宋_GB2312" w:hAnsi="Times New Roman" w:eastAsia="仿宋_GB2312" w:cs="Times New Roman"/>
          <w:kern w:val="2"/>
          <w:sz w:val="28"/>
          <w:szCs w:val="24"/>
          <w:lang w:val="en-US" w:eastAsia="zh-CN" w:bidi="ar-SA"/>
        </w:rPr>
        <w:t>人力资源服务创新创业暨技能竞赛省级赛包含个人赛和团体赛两个阶段。</w:t>
      </w:r>
    </w:p>
    <w:p>
      <w:pPr>
        <w:pStyle w:val="8"/>
        <w:keepNext w:val="0"/>
        <w:keepLines w:val="0"/>
        <w:pageBreakBefore w:val="0"/>
        <w:widowControl/>
        <w:suppressLineNumbers w:val="0"/>
        <w:kinsoku/>
        <w:wordWrap/>
        <w:overflowPunct/>
        <w:topLinePunct w:val="0"/>
        <w:autoSpaceDE/>
        <w:autoSpaceDN/>
        <w:bidi w:val="0"/>
        <w:spacing w:before="0" w:beforeAutospacing="0" w:after="0" w:afterAutospacing="0" w:line="240" w:lineRule="auto"/>
        <w:ind w:left="0" w:right="0" w:firstLine="562" w:firstLineChars="200"/>
        <w:textAlignment w:val="auto"/>
        <w:rPr>
          <w:rFonts w:hint="default" w:ascii="仿宋_GB2312" w:hAnsi="Times New Roman" w:eastAsia="仿宋_GB2312" w:cs="Times New Roman"/>
          <w:b/>
          <w:bCs/>
          <w:kern w:val="2"/>
          <w:sz w:val="28"/>
          <w:szCs w:val="24"/>
          <w:lang w:val="en-US" w:eastAsia="zh-CN" w:bidi="ar-SA"/>
        </w:rPr>
      </w:pPr>
      <w:r>
        <w:rPr>
          <w:rFonts w:hint="eastAsia" w:ascii="仿宋_GB2312" w:hAnsi="Times New Roman" w:eastAsia="仿宋_GB2312" w:cs="Times New Roman"/>
          <w:b/>
          <w:bCs/>
          <w:kern w:val="2"/>
          <w:sz w:val="28"/>
          <w:szCs w:val="24"/>
          <w:lang w:val="en-US" w:eastAsia="zh-CN" w:bidi="ar-SA"/>
        </w:rPr>
        <w:t>（一）个人赛</w:t>
      </w:r>
    </w:p>
    <w:p>
      <w:pPr>
        <w:spacing w:line="24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kern w:val="2"/>
          <w:sz w:val="28"/>
          <w:szCs w:val="28"/>
          <w:lang w:val="en-US" w:eastAsia="zh-CN" w:bidi="ar-SA"/>
        </w:rPr>
        <w:t>1.竞赛方式：闭卷计算机机考答题。</w:t>
      </w:r>
    </w:p>
    <w:p>
      <w:pPr>
        <w:spacing w:line="240" w:lineRule="auto"/>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2.竞赛内容：70%试题从《参考样题》中抽取，30%试题赛前由竞赛组委会办公室组织命题组专家出题，赛前保密。</w:t>
      </w:r>
    </w:p>
    <w:p>
      <w:pPr>
        <w:spacing w:line="240" w:lineRule="auto"/>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3.竞赛时间：120分钟。</w:t>
      </w:r>
    </w:p>
    <w:p>
      <w:pPr>
        <w:spacing w:line="240" w:lineRule="auto"/>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4.竞赛题型：</w:t>
      </w:r>
    </w:p>
    <w:tbl>
      <w:tblPr>
        <w:tblStyle w:val="11"/>
        <w:tblW w:w="525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7"/>
        <w:gridCol w:w="1278"/>
        <w:gridCol w:w="1278"/>
        <w:gridCol w:w="1283"/>
        <w:gridCol w:w="1278"/>
        <w:gridCol w:w="1278"/>
        <w:gridCol w:w="1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1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heme="minorEastAsia" w:hAnsiTheme="minorEastAsia" w:eastAsiaTheme="minorEastAsia" w:cstheme="minorEastAsia"/>
                <w:b/>
                <w:bCs/>
                <w:color w:val="auto"/>
                <w:sz w:val="24"/>
                <w:szCs w:val="24"/>
                <w:vertAlign w:val="baseline"/>
                <w:lang w:val="en-US" w:eastAsia="zh-CN"/>
              </w:rPr>
            </w:pPr>
            <w:r>
              <w:rPr>
                <w:rFonts w:hint="eastAsia" w:asciiTheme="minorEastAsia" w:hAnsiTheme="minorEastAsia" w:eastAsiaTheme="minorEastAsia" w:cstheme="minorEastAsia"/>
                <w:b/>
                <w:bCs/>
                <w:color w:val="auto"/>
                <w:sz w:val="24"/>
                <w:szCs w:val="24"/>
                <w:vertAlign w:val="baseline"/>
                <w:lang w:val="en-US" w:eastAsia="zh-CN"/>
              </w:rPr>
              <w:t>类型</w:t>
            </w:r>
          </w:p>
        </w:tc>
        <w:tc>
          <w:tcPr>
            <w:tcW w:w="2142" w:type="pct"/>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b w:val="0"/>
                <w:bCs w:val="0"/>
                <w:color w:val="auto"/>
                <w:sz w:val="24"/>
                <w:szCs w:val="24"/>
                <w:vertAlign w:val="baseline"/>
                <w:lang w:val="en-US" w:eastAsia="zh-CN"/>
              </w:rPr>
              <w:t>理论（机考答题）</w:t>
            </w:r>
          </w:p>
        </w:tc>
        <w:tc>
          <w:tcPr>
            <w:tcW w:w="2143" w:type="pct"/>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b w:val="0"/>
                <w:bCs w:val="0"/>
                <w:color w:val="auto"/>
                <w:sz w:val="24"/>
                <w:szCs w:val="24"/>
                <w:vertAlign w:val="baseline"/>
                <w:lang w:val="en-US" w:eastAsia="zh-CN"/>
              </w:rPr>
              <w:t>实操（机考答题）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1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heme="minorEastAsia" w:hAnsiTheme="minorEastAsia" w:eastAsiaTheme="minorEastAsia" w:cstheme="minorEastAsia"/>
                <w:b/>
                <w:bCs/>
                <w:color w:val="auto"/>
                <w:sz w:val="24"/>
                <w:szCs w:val="24"/>
                <w:vertAlign w:val="baseline"/>
                <w:lang w:val="en-US" w:eastAsia="zh-CN"/>
              </w:rPr>
            </w:pPr>
            <w:r>
              <w:rPr>
                <w:rFonts w:hint="eastAsia" w:asciiTheme="minorEastAsia" w:hAnsiTheme="minorEastAsia" w:eastAsiaTheme="minorEastAsia" w:cstheme="minorEastAsia"/>
                <w:b/>
                <w:bCs/>
                <w:color w:val="auto"/>
                <w:sz w:val="24"/>
                <w:szCs w:val="24"/>
                <w:vertAlign w:val="baseline"/>
                <w:lang w:val="en-US" w:eastAsia="zh-CN"/>
              </w:rPr>
              <w:t>题型</w:t>
            </w:r>
          </w:p>
        </w:tc>
        <w:tc>
          <w:tcPr>
            <w:tcW w:w="71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sz w:val="24"/>
                <w:szCs w:val="24"/>
                <w:vertAlign w:val="baseline"/>
                <w:lang w:val="en-US" w:eastAsia="zh-CN"/>
              </w:rPr>
              <w:t>单选</w:t>
            </w:r>
          </w:p>
        </w:tc>
        <w:tc>
          <w:tcPr>
            <w:tcW w:w="71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sz w:val="24"/>
                <w:szCs w:val="24"/>
                <w:vertAlign w:val="baseline"/>
                <w:lang w:val="en-US" w:eastAsia="zh-CN"/>
              </w:rPr>
              <w:t>多选</w:t>
            </w:r>
          </w:p>
        </w:tc>
        <w:tc>
          <w:tcPr>
            <w:tcW w:w="714"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sz w:val="24"/>
                <w:szCs w:val="24"/>
                <w:vertAlign w:val="baseline"/>
                <w:lang w:val="en-US" w:eastAsia="zh-CN"/>
              </w:rPr>
              <w:t>判断</w:t>
            </w:r>
          </w:p>
        </w:tc>
        <w:tc>
          <w:tcPr>
            <w:tcW w:w="71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sz w:val="24"/>
                <w:szCs w:val="24"/>
                <w:vertAlign w:val="baseline"/>
                <w:lang w:val="en-US" w:eastAsia="zh-CN"/>
              </w:rPr>
              <w:t>填空</w:t>
            </w:r>
          </w:p>
        </w:tc>
        <w:tc>
          <w:tcPr>
            <w:tcW w:w="71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b w:val="0"/>
                <w:bCs w:val="0"/>
                <w:color w:val="auto"/>
                <w:sz w:val="24"/>
                <w:szCs w:val="24"/>
                <w:vertAlign w:val="baseline"/>
                <w:lang w:val="en-US" w:eastAsia="zh-CN"/>
              </w:rPr>
              <w:t>简答</w:t>
            </w:r>
          </w:p>
        </w:tc>
        <w:tc>
          <w:tcPr>
            <w:tcW w:w="71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b w:val="0"/>
                <w:bCs w:val="0"/>
                <w:color w:val="auto"/>
                <w:sz w:val="24"/>
                <w:szCs w:val="24"/>
                <w:vertAlign w:val="baseline"/>
                <w:lang w:val="en-US" w:eastAsia="zh-CN"/>
              </w:rPr>
              <w:t>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71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heme="minorEastAsia" w:hAnsiTheme="minorEastAsia" w:eastAsiaTheme="minorEastAsia" w:cstheme="minorEastAsia"/>
                <w:b/>
                <w:bCs/>
                <w:color w:val="auto"/>
                <w:sz w:val="24"/>
                <w:szCs w:val="24"/>
                <w:vertAlign w:val="baseline"/>
                <w:lang w:val="en-US" w:eastAsia="zh-CN"/>
              </w:rPr>
            </w:pPr>
            <w:r>
              <w:rPr>
                <w:rFonts w:hint="eastAsia" w:asciiTheme="minorEastAsia" w:hAnsiTheme="minorEastAsia" w:eastAsiaTheme="minorEastAsia" w:cstheme="minorEastAsia"/>
                <w:b/>
                <w:bCs/>
                <w:color w:val="auto"/>
                <w:sz w:val="24"/>
                <w:szCs w:val="24"/>
                <w:vertAlign w:val="baseline"/>
                <w:lang w:val="en-US" w:eastAsia="zh-CN"/>
              </w:rPr>
              <w:t>分值</w:t>
            </w:r>
          </w:p>
        </w:tc>
        <w:tc>
          <w:tcPr>
            <w:tcW w:w="2142" w:type="pct"/>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b w:val="0"/>
                <w:bCs w:val="0"/>
                <w:color w:val="auto"/>
                <w:sz w:val="24"/>
                <w:szCs w:val="24"/>
                <w:vertAlign w:val="baseline"/>
                <w:lang w:val="en-US" w:eastAsia="zh-CN"/>
              </w:rPr>
              <w:t>满分100分</w:t>
            </w:r>
            <w:r>
              <w:rPr>
                <w:rFonts w:hint="eastAsia" w:asciiTheme="minorEastAsia" w:hAnsiTheme="minorEastAsia" w:cstheme="minorEastAsia"/>
                <w:b w:val="0"/>
                <w:bCs w:val="0"/>
                <w:color w:val="auto"/>
                <w:sz w:val="24"/>
                <w:szCs w:val="24"/>
                <w:vertAlign w:val="baseline"/>
                <w:lang w:val="en-US" w:eastAsia="zh-CN"/>
              </w:rPr>
              <w:t>，</w:t>
            </w:r>
            <w:r>
              <w:rPr>
                <w:rFonts w:hint="eastAsia" w:asciiTheme="minorEastAsia" w:hAnsiTheme="minorEastAsia" w:eastAsiaTheme="minorEastAsia" w:cstheme="minorEastAsia"/>
                <w:b w:val="0"/>
                <w:bCs w:val="0"/>
                <w:color w:val="auto"/>
                <w:sz w:val="24"/>
                <w:szCs w:val="24"/>
                <w:vertAlign w:val="baseline"/>
                <w:lang w:val="en-US" w:eastAsia="zh-CN"/>
              </w:rPr>
              <w:t>按照</w:t>
            </w:r>
            <w:r>
              <w:rPr>
                <w:rFonts w:hint="eastAsia" w:asciiTheme="minorEastAsia" w:hAnsiTheme="minorEastAsia" w:cstheme="minorEastAsia"/>
                <w:b w:val="0"/>
                <w:bCs w:val="0"/>
                <w:color w:val="auto"/>
                <w:sz w:val="24"/>
                <w:szCs w:val="24"/>
                <w:vertAlign w:val="baseline"/>
                <w:lang w:val="en-US" w:eastAsia="zh-CN"/>
              </w:rPr>
              <w:t>个人最终得分的</w:t>
            </w:r>
            <w:r>
              <w:rPr>
                <w:rFonts w:hint="eastAsia" w:asciiTheme="minorEastAsia" w:hAnsiTheme="minorEastAsia" w:eastAsiaTheme="minorEastAsia" w:cstheme="minorEastAsia"/>
                <w:b w:val="0"/>
                <w:bCs w:val="0"/>
                <w:color w:val="auto"/>
                <w:sz w:val="24"/>
                <w:szCs w:val="24"/>
                <w:vertAlign w:val="baseline"/>
                <w:lang w:val="en-US" w:eastAsia="zh-CN"/>
              </w:rPr>
              <w:t>30%计入个人</w:t>
            </w:r>
            <w:r>
              <w:rPr>
                <w:rFonts w:hint="eastAsia" w:asciiTheme="minorEastAsia" w:hAnsiTheme="minorEastAsia" w:cstheme="minorEastAsia"/>
                <w:b w:val="0"/>
                <w:bCs w:val="0"/>
                <w:color w:val="auto"/>
                <w:sz w:val="24"/>
                <w:szCs w:val="24"/>
                <w:vertAlign w:val="baseline"/>
                <w:lang w:val="en-US" w:eastAsia="zh-CN"/>
              </w:rPr>
              <w:t>赛</w:t>
            </w:r>
            <w:r>
              <w:rPr>
                <w:rFonts w:hint="eastAsia" w:asciiTheme="minorEastAsia" w:hAnsiTheme="minorEastAsia" w:eastAsiaTheme="minorEastAsia" w:cstheme="minorEastAsia"/>
                <w:b w:val="0"/>
                <w:bCs w:val="0"/>
                <w:color w:val="auto"/>
                <w:sz w:val="24"/>
                <w:szCs w:val="24"/>
                <w:vertAlign w:val="baseline"/>
                <w:lang w:val="en-US" w:eastAsia="zh-CN"/>
              </w:rPr>
              <w:t>总成绩</w:t>
            </w:r>
          </w:p>
        </w:tc>
        <w:tc>
          <w:tcPr>
            <w:tcW w:w="2143" w:type="pct"/>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b w:val="0"/>
                <w:bCs w:val="0"/>
                <w:color w:val="auto"/>
                <w:sz w:val="24"/>
                <w:szCs w:val="24"/>
                <w:vertAlign w:val="baseline"/>
                <w:lang w:val="en-US" w:eastAsia="zh-CN"/>
              </w:rPr>
              <w:t>满分100分</w:t>
            </w:r>
            <w:r>
              <w:rPr>
                <w:rFonts w:hint="eastAsia" w:asciiTheme="minorEastAsia" w:hAnsiTheme="minorEastAsia" w:cstheme="minorEastAsia"/>
                <w:b w:val="0"/>
                <w:bCs w:val="0"/>
                <w:color w:val="auto"/>
                <w:sz w:val="24"/>
                <w:szCs w:val="24"/>
                <w:vertAlign w:val="baseline"/>
                <w:lang w:val="en-US" w:eastAsia="zh-CN"/>
              </w:rPr>
              <w:t>，</w:t>
            </w:r>
            <w:r>
              <w:rPr>
                <w:rFonts w:hint="eastAsia" w:asciiTheme="minorEastAsia" w:hAnsiTheme="minorEastAsia" w:eastAsiaTheme="minorEastAsia" w:cstheme="minorEastAsia"/>
                <w:b w:val="0"/>
                <w:bCs w:val="0"/>
                <w:color w:val="auto"/>
                <w:sz w:val="24"/>
                <w:szCs w:val="24"/>
                <w:vertAlign w:val="baseline"/>
                <w:lang w:val="en-US" w:eastAsia="zh-CN"/>
              </w:rPr>
              <w:t>按照</w:t>
            </w:r>
            <w:r>
              <w:rPr>
                <w:rFonts w:hint="eastAsia" w:asciiTheme="minorEastAsia" w:hAnsiTheme="minorEastAsia" w:cstheme="minorEastAsia"/>
                <w:b w:val="0"/>
                <w:bCs w:val="0"/>
                <w:color w:val="auto"/>
                <w:sz w:val="24"/>
                <w:szCs w:val="24"/>
                <w:vertAlign w:val="baseline"/>
                <w:lang w:val="en-US" w:eastAsia="zh-CN"/>
              </w:rPr>
              <w:t>个人最终得分的</w:t>
            </w:r>
            <w:r>
              <w:rPr>
                <w:rFonts w:hint="eastAsia" w:asciiTheme="minorEastAsia" w:hAnsiTheme="minorEastAsia" w:eastAsiaTheme="minorEastAsia" w:cstheme="minorEastAsia"/>
                <w:b w:val="0"/>
                <w:bCs w:val="0"/>
                <w:color w:val="auto"/>
                <w:sz w:val="24"/>
                <w:szCs w:val="24"/>
                <w:vertAlign w:val="baseline"/>
                <w:lang w:val="en-US" w:eastAsia="zh-CN"/>
              </w:rPr>
              <w:t>70%计入个人</w:t>
            </w:r>
            <w:r>
              <w:rPr>
                <w:rFonts w:hint="eastAsia" w:asciiTheme="minorEastAsia" w:hAnsiTheme="minorEastAsia" w:cstheme="minorEastAsia"/>
                <w:b w:val="0"/>
                <w:bCs w:val="0"/>
                <w:color w:val="auto"/>
                <w:sz w:val="24"/>
                <w:szCs w:val="24"/>
                <w:vertAlign w:val="baseline"/>
                <w:lang w:val="en-US" w:eastAsia="zh-CN"/>
              </w:rPr>
              <w:t>赛</w:t>
            </w:r>
            <w:r>
              <w:rPr>
                <w:rFonts w:hint="eastAsia" w:asciiTheme="minorEastAsia" w:hAnsiTheme="minorEastAsia" w:eastAsiaTheme="minorEastAsia" w:cstheme="minorEastAsia"/>
                <w:b w:val="0"/>
                <w:bCs w:val="0"/>
                <w:color w:val="auto"/>
                <w:sz w:val="24"/>
                <w:szCs w:val="24"/>
                <w:vertAlign w:val="baseline"/>
                <w:lang w:val="en-US" w:eastAsia="zh-CN"/>
              </w:rPr>
              <w:t>总成绩</w:t>
            </w:r>
          </w:p>
        </w:tc>
      </w:tr>
    </w:tbl>
    <w:p>
      <w:pPr>
        <w:numPr>
          <w:ilvl w:val="0"/>
          <w:numId w:val="0"/>
        </w:numPr>
        <w:jc w:val="both"/>
        <w:rPr>
          <w:rFonts w:hint="eastAsia" w:ascii="仿宋_GB2312" w:hAnsi="仿宋_GB2312" w:eastAsia="仿宋_GB2312" w:cs="仿宋_GB2312"/>
          <w:kern w:val="2"/>
          <w:sz w:val="28"/>
          <w:szCs w:val="28"/>
          <w:lang w:val="en-US" w:eastAsia="zh-CN" w:bidi="ar-SA"/>
        </w:rPr>
      </w:pPr>
    </w:p>
    <w:p>
      <w:pPr>
        <w:spacing w:line="240" w:lineRule="auto"/>
        <w:ind w:firstLine="560" w:firstLineChars="200"/>
        <w:rPr>
          <w:rFonts w:hint="eastAsia" w:ascii="仿宋_GB2312" w:hAnsi="Times New Roman" w:eastAsia="仿宋_GB2312" w:cs="Times New Roman"/>
          <w:b/>
          <w:bCs/>
          <w:kern w:val="2"/>
          <w:sz w:val="28"/>
          <w:szCs w:val="24"/>
          <w:lang w:val="en-US" w:eastAsia="zh-CN" w:bidi="ar-SA"/>
        </w:rPr>
      </w:pPr>
      <w:r>
        <w:rPr>
          <w:rFonts w:hint="eastAsia" w:ascii="仿宋_GB2312" w:hAnsi="仿宋_GB2312" w:eastAsia="仿宋_GB2312" w:cs="仿宋_GB2312"/>
          <w:kern w:val="2"/>
          <w:sz w:val="28"/>
          <w:szCs w:val="28"/>
          <w:lang w:val="en-US" w:eastAsia="zh-CN" w:bidi="ar-SA"/>
        </w:rPr>
        <w:t>5.个人赛总成绩：选手个人赛总成绩=理论成绩*30%+实操成绩*70%，按照高分到低分依次进行排序，决出个人一、二、三等奖，如遇成绩相同的，则实操成绩高者名次列前。</w:t>
      </w:r>
    </w:p>
    <w:p>
      <w:pPr>
        <w:pStyle w:val="8"/>
        <w:keepNext w:val="0"/>
        <w:keepLines w:val="0"/>
        <w:pageBreakBefore w:val="0"/>
        <w:widowControl/>
        <w:suppressLineNumbers w:val="0"/>
        <w:kinsoku/>
        <w:wordWrap/>
        <w:overflowPunct/>
        <w:topLinePunct w:val="0"/>
        <w:autoSpaceDE/>
        <w:autoSpaceDN/>
        <w:bidi w:val="0"/>
        <w:spacing w:before="0" w:beforeAutospacing="0" w:after="0" w:afterAutospacing="0" w:line="240" w:lineRule="auto"/>
        <w:ind w:left="0" w:right="0" w:firstLine="562" w:firstLineChars="200"/>
        <w:textAlignment w:val="auto"/>
        <w:rPr>
          <w:rFonts w:hint="default" w:ascii="仿宋_GB2312" w:hAnsi="Times New Roman" w:eastAsia="仿宋_GB2312" w:cs="Times New Roman"/>
          <w:b/>
          <w:bCs/>
          <w:kern w:val="2"/>
          <w:sz w:val="28"/>
          <w:szCs w:val="24"/>
          <w:lang w:val="en-US" w:eastAsia="zh-CN" w:bidi="ar-SA"/>
        </w:rPr>
      </w:pPr>
      <w:r>
        <w:rPr>
          <w:rFonts w:hint="eastAsia" w:ascii="仿宋_GB2312" w:hAnsi="Times New Roman" w:eastAsia="仿宋_GB2312" w:cs="Times New Roman"/>
          <w:b/>
          <w:bCs/>
          <w:kern w:val="2"/>
          <w:sz w:val="28"/>
          <w:szCs w:val="24"/>
          <w:lang w:val="en-US" w:eastAsia="zh-CN" w:bidi="ar-SA"/>
        </w:rPr>
        <w:t>（二）团体赛</w:t>
      </w:r>
      <w:bookmarkStart w:id="0" w:name="_GoBack"/>
      <w:bookmarkEnd w:id="0"/>
    </w:p>
    <w:p>
      <w:pPr>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1.竞赛方式：采用创新项目展示和竞赛答题的形式。</w:t>
      </w:r>
    </w:p>
    <w:p>
      <w:pPr>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竞赛内容：比赛分初露锋芒、旗开得胜、眼明手快、抢滩登陆四个环节。初露锋芒环节由每支代表队报送创新创业项目参赛；旗开得胜环节由每支代表队选手依次答题；眼明手快环节由每支代表队选手集体抢答；抢滩登陆环节由团体赛前三个环节总分排名前6名的代表队讨论答题，为前6名排位赛。</w:t>
      </w:r>
    </w:p>
    <w:p>
      <w:pPr>
        <w:ind w:firstLine="560" w:firstLineChars="20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3.具体规则：</w:t>
      </w:r>
    </w:p>
    <w:p>
      <w:pPr>
        <w:pStyle w:val="9"/>
        <w:numPr>
          <w:ilvl w:val="0"/>
          <w:numId w:val="0"/>
        </w:numPr>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（1）团体赛由安徽省内各地市共16支代表队组成，团体赛开赛前以抽签方式确定出场序号。</w:t>
      </w:r>
    </w:p>
    <w:p>
      <w:pPr>
        <w:pStyle w:val="9"/>
        <w:numPr>
          <w:ilvl w:val="0"/>
          <w:numId w:val="0"/>
        </w:numPr>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（2）旗开得胜、眼明手快、抢滩登陆三个环节由参加该环节竞赛的代表队从各自队伍内5名选手中选择3名选手参加，每个环节比赛开始前，参赛队可调整上场选手，每个环节比赛开始后，不可更换选手。</w:t>
      </w:r>
    </w:p>
    <w:p>
      <w:pPr>
        <w:pStyle w:val="9"/>
        <w:numPr>
          <w:ilvl w:val="0"/>
          <w:numId w:val="0"/>
        </w:numPr>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val="0"/>
          <w:bCs w:val="0"/>
          <w:sz w:val="28"/>
          <w:szCs w:val="28"/>
          <w:lang w:val="en-US" w:eastAsia="zh-CN"/>
        </w:rPr>
        <w:t>（3）</w:t>
      </w:r>
      <w:r>
        <w:rPr>
          <w:rFonts w:hint="eastAsia" w:ascii="仿宋_GB2312" w:hAnsi="仿宋_GB2312" w:eastAsia="仿宋_GB2312" w:cs="仿宋_GB2312"/>
          <w:b/>
          <w:bCs/>
          <w:sz w:val="28"/>
          <w:szCs w:val="28"/>
          <w:lang w:val="en-US" w:eastAsia="zh-CN"/>
        </w:rPr>
        <w:t>初露锋芒规则：</w:t>
      </w:r>
      <w:r>
        <w:rPr>
          <w:rFonts w:hint="eastAsia" w:ascii="仿宋_GB2312" w:hAnsi="仿宋_GB2312" w:eastAsia="仿宋_GB2312" w:cs="仿宋_GB2312"/>
          <w:sz w:val="28"/>
          <w:szCs w:val="28"/>
          <w:lang w:val="en-US" w:eastAsia="zh-CN"/>
        </w:rPr>
        <w:t>各地市于8月15日前按要求填写并报送创新创业项目推荐表及商业计划书（附件3），申报1个创新创业项目，团体赛开赛前由组委会办公室组织评委按照《创新创业项目评分指标》（附件4）进行项目评审并打分，团体赛开始后由主持人现场公布项目得分，本环节得分按照20%比例计入团体赛总得分。</w:t>
      </w:r>
    </w:p>
    <w:p>
      <w:pPr>
        <w:pStyle w:val="9"/>
        <w:numPr>
          <w:ilvl w:val="0"/>
          <w:numId w:val="0"/>
        </w:numPr>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b/>
          <w:bCs/>
          <w:sz w:val="28"/>
          <w:szCs w:val="28"/>
          <w:lang w:val="en-US" w:eastAsia="zh-CN"/>
        </w:rPr>
        <w:t>旗开得胜规则：</w:t>
      </w:r>
      <w:r>
        <w:rPr>
          <w:rFonts w:hint="eastAsia" w:ascii="仿宋_GB2312" w:hAnsi="仿宋_GB2312" w:eastAsia="仿宋_GB2312" w:cs="仿宋_GB2312"/>
          <w:sz w:val="28"/>
          <w:szCs w:val="28"/>
          <w:lang w:val="en-US" w:eastAsia="zh-CN"/>
        </w:rPr>
        <w:t>本环节为3轮必答题，每轮每队随机回答1题。其中，第一轮为单项选择题，由每支代表队1号选手依次作答；第二轮为多项选择题，由每支代表队2号选手依次作答；第三轮为判断和填空混合题，由每支代表队3号选手依次作答。答题开始后，答题选手不可随意调换出场答题顺序。每道题答对加2分，答错扣1分。答题时间30秒，最终系统自动计算各队累计答题得分。</w:t>
      </w:r>
    </w:p>
    <w:p>
      <w:pPr>
        <w:pStyle w:val="9"/>
        <w:numPr>
          <w:ilvl w:val="0"/>
          <w:numId w:val="0"/>
        </w:numPr>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b/>
          <w:bCs/>
          <w:sz w:val="28"/>
          <w:szCs w:val="28"/>
          <w:lang w:val="en-US" w:eastAsia="zh-CN"/>
        </w:rPr>
        <w:t>眼明手快规则：</w:t>
      </w:r>
      <w:r>
        <w:rPr>
          <w:rFonts w:hint="eastAsia" w:ascii="仿宋_GB2312" w:hAnsi="仿宋_GB2312" w:eastAsia="仿宋_GB2312" w:cs="仿宋_GB2312"/>
          <w:sz w:val="28"/>
          <w:szCs w:val="28"/>
          <w:lang w:val="en-US" w:eastAsia="zh-CN"/>
        </w:rPr>
        <w:t>本环节为抢答题，采用集体抢答方式进行，共30道题，其中单项选择题15题、多项选择题10题、判断和填空共5题。每道题答对加2分，答错扣1分。每道题只有一次抢答机会，选手获得答题机会后，其他人不得再对题目进行回答。选手抢答成功后，须在10秒内完成作答，否则视为答题错误，答题错误后，将直接公布该题答案并进入下一题，不再继续抢答。</w:t>
      </w:r>
    </w:p>
    <w:p>
      <w:pPr>
        <w:pStyle w:val="9"/>
        <w:numPr>
          <w:ilvl w:val="0"/>
          <w:numId w:val="0"/>
        </w:numPr>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b/>
          <w:bCs/>
          <w:sz w:val="28"/>
          <w:szCs w:val="28"/>
          <w:lang w:val="en-US" w:eastAsia="zh-CN"/>
        </w:rPr>
        <w:t>抢滩登陆规则：</w:t>
      </w:r>
      <w:r>
        <w:rPr>
          <w:rFonts w:hint="eastAsia" w:ascii="仿宋_GB2312" w:hAnsi="仿宋_GB2312" w:eastAsia="仿宋_GB2312" w:cs="仿宋_GB2312"/>
          <w:sz w:val="28"/>
          <w:szCs w:val="28"/>
          <w:lang w:val="en-US" w:eastAsia="zh-CN"/>
        </w:rPr>
        <w:t>本环节题型包含不定项选择题（对应分值20分）、填空题（对应分值30分）、简答或案例题（对应分值50分）三种。6支代表队各派3名代表，其中1名代表主答题，另2名代表可补充。每队自选一个对应分值的题型答题，每题读题时间最长60秒，答题时间分别为60秒、90秒、120秒。答对，则加相应的分值，答错则对应扣4分，6分，10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both"/>
        <w:textAlignment w:val="auto"/>
        <w:outlineLvl w:val="9"/>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sz w:val="28"/>
          <w:szCs w:val="28"/>
          <w:lang w:val="en-US" w:eastAsia="zh-CN"/>
        </w:rPr>
        <w:t>（7）团体赛结果：团体赛仅公布参加抢滩登陆环节的前6支队伍成绩，最终成绩=初露锋芒*20%+旗开得胜+眼明手快+抢滩登陆。如遇成绩相同</w:t>
      </w:r>
      <w:r>
        <w:rPr>
          <w:rFonts w:hint="eastAsia" w:ascii="仿宋_GB2312" w:hAnsi="仿宋_GB2312" w:eastAsia="仿宋_GB2312" w:cs="仿宋_GB2312"/>
          <w:color w:val="auto"/>
          <w:sz w:val="28"/>
          <w:szCs w:val="28"/>
          <w:lang w:val="en-US" w:eastAsia="zh-CN"/>
        </w:rPr>
        <w:t>，则成绩相同的队伍加赛抢答题，加赛题目不另外计分。</w:t>
      </w:r>
    </w:p>
    <w:p>
      <w:pPr>
        <w:numPr>
          <w:ilvl w:val="0"/>
          <w:numId w:val="0"/>
        </w:numPr>
        <w:ind w:firstLine="560" w:firstLineChars="200"/>
        <w:jc w:val="both"/>
        <w:rPr>
          <w:rFonts w:hint="eastAsia" w:ascii="黑体" w:eastAsia="黑体"/>
          <w:sz w:val="28"/>
          <w:lang w:val="en-US" w:eastAsia="zh-CN"/>
        </w:rPr>
      </w:pPr>
      <w:r>
        <w:rPr>
          <w:rFonts w:hint="eastAsia" w:ascii="仿宋_GB2312" w:hAnsi="仿宋_GB2312" w:eastAsia="仿宋_GB2312" w:cs="仿宋_GB2312"/>
          <w:color w:val="auto"/>
          <w:sz w:val="28"/>
          <w:szCs w:val="28"/>
          <w:lang w:val="en-US" w:eastAsia="zh-CN"/>
        </w:rPr>
        <w:t>（8）旗开得胜、眼明手快环节竞赛试题从《参考样题》中随机</w:t>
      </w:r>
      <w:r>
        <w:rPr>
          <w:rFonts w:hint="eastAsia" w:ascii="仿宋_GB2312" w:hAnsi="仿宋_GB2312" w:eastAsia="仿宋_GB2312" w:cs="仿宋_GB2312"/>
          <w:sz w:val="28"/>
          <w:szCs w:val="28"/>
          <w:lang w:val="en-US" w:eastAsia="zh-CN"/>
        </w:rPr>
        <w:t>抽取，抢滩登陆环节竞赛试题由竞赛组委会办公室组织有关专家统一命制，赛前保密。</w:t>
      </w:r>
    </w:p>
    <w:p>
      <w:pPr>
        <w:spacing w:line="240" w:lineRule="auto"/>
        <w:ind w:firstLine="548" w:firstLineChars="196"/>
        <w:rPr>
          <w:rFonts w:hint="eastAsia" w:ascii="黑体" w:eastAsia="黑体"/>
          <w:sz w:val="28"/>
        </w:rPr>
      </w:pPr>
      <w:r>
        <w:rPr>
          <w:rFonts w:hint="eastAsia" w:ascii="黑体" w:eastAsia="黑体"/>
          <w:sz w:val="28"/>
          <w:lang w:val="en-US" w:eastAsia="zh-CN"/>
        </w:rPr>
        <w:t>三</w:t>
      </w:r>
      <w:r>
        <w:rPr>
          <w:rFonts w:hint="eastAsia" w:ascii="黑体" w:eastAsia="黑体"/>
          <w:sz w:val="28"/>
        </w:rPr>
        <w:t>、竞赛设施与场地</w:t>
      </w:r>
    </w:p>
    <w:p>
      <w:pPr>
        <w:spacing w:line="240" w:lineRule="auto"/>
        <w:ind w:firstLine="560" w:firstLineChars="200"/>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（一）个人赛</w:t>
      </w:r>
    </w:p>
    <w:p>
      <w:pPr>
        <w:spacing w:line="240" w:lineRule="auto"/>
        <w:ind w:firstLine="560" w:firstLineChars="200"/>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1.竞赛场地：个人赛竞赛场地内设置80个计算机机考工位，工位间用隔板遮挡，赛场内场包含答题区、服务区、评分区、医疗区、仲裁区等区域</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非参赛选手或工作人员不得入内。</w:t>
      </w:r>
    </w:p>
    <w:p>
      <w:pPr>
        <w:spacing w:line="240" w:lineRule="auto"/>
        <w:ind w:firstLine="560" w:firstLineChars="20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2.座位安排：按照各市推荐参赛选手名单进行随机座位编排，形成考场座位图，考生现场签到后进入场地按照考场图及座位上名贴就座。</w:t>
      </w:r>
    </w:p>
    <w:p>
      <w:pPr>
        <w:spacing w:line="240" w:lineRule="auto"/>
        <w:ind w:firstLine="560" w:firstLineChars="20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3.设施设备：考试技术平台、考试</w:t>
      </w:r>
      <w:r>
        <w:rPr>
          <w:rFonts w:hint="eastAsia" w:ascii="仿宋_GB2312" w:hAnsi="仿宋_GB2312" w:eastAsia="仿宋_GB2312" w:cs="仿宋_GB2312"/>
          <w:b w:val="0"/>
          <w:bCs w:val="0"/>
          <w:kern w:val="2"/>
          <w:sz w:val="28"/>
          <w:szCs w:val="28"/>
          <w:lang w:val="en-US" w:eastAsia="zh-CN" w:bidi="ar-SA"/>
        </w:rPr>
        <w:t>屏蔽仪、金属探测器、身份证识别仪等。</w:t>
      </w:r>
    </w:p>
    <w:p>
      <w:pPr>
        <w:spacing w:line="240" w:lineRule="auto"/>
        <w:ind w:firstLine="560" w:firstLineChars="200"/>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（二）团体赛</w:t>
      </w:r>
    </w:p>
    <w:p>
      <w:pPr>
        <w:spacing w:line="240" w:lineRule="auto"/>
        <w:ind w:firstLine="560" w:firstLineChars="200"/>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1.竞赛场地：团体赛为公开表演赛，赛场内场包含答题舞台、评委席、计分区、医疗区、仲裁区、观众席等区域</w:t>
      </w:r>
      <w:r>
        <w:rPr>
          <w:rFonts w:hint="eastAsia" w:ascii="仿宋_GB2312" w:hAnsi="仿宋_GB2312" w:eastAsia="仿宋_GB2312" w:cs="仿宋_GB2312"/>
          <w:b w:val="0"/>
          <w:bCs w:val="0"/>
          <w:sz w:val="28"/>
          <w:szCs w:val="28"/>
        </w:rPr>
        <w:t>。</w:t>
      </w:r>
    </w:p>
    <w:p>
      <w:pPr>
        <w:spacing w:line="240" w:lineRule="auto"/>
        <w:ind w:firstLine="560" w:firstLineChars="20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2.设施设备：抽题技术平台、抢答器、大屏幕、视频监控</w:t>
      </w:r>
      <w:r>
        <w:rPr>
          <w:rFonts w:hint="eastAsia" w:ascii="仿宋_GB2312" w:hAnsi="仿宋_GB2312" w:eastAsia="仿宋_GB2312" w:cs="仿宋_GB2312"/>
          <w:b w:val="0"/>
          <w:bCs w:val="0"/>
          <w:kern w:val="2"/>
          <w:sz w:val="28"/>
          <w:szCs w:val="28"/>
          <w:lang w:val="en-US" w:eastAsia="zh-CN" w:bidi="ar-SA"/>
        </w:rPr>
        <w:t>等。</w:t>
      </w:r>
    </w:p>
    <w:p>
      <w:pPr>
        <w:numPr>
          <w:ilvl w:val="0"/>
          <w:numId w:val="0"/>
        </w:numPr>
        <w:ind w:firstLine="560" w:firstLineChars="200"/>
        <w:jc w:val="both"/>
        <w:rPr>
          <w:rFonts w:hint="default" w:ascii="黑体" w:eastAsia="黑体"/>
          <w:sz w:val="28"/>
          <w:lang w:val="en-US" w:eastAsia="zh-CN"/>
        </w:rPr>
      </w:pPr>
      <w:r>
        <w:rPr>
          <w:rFonts w:hint="eastAsia" w:ascii="黑体" w:eastAsia="黑体"/>
          <w:sz w:val="28"/>
          <w:lang w:val="en-US" w:eastAsia="zh-CN"/>
        </w:rPr>
        <w:t>四、专家评委</w:t>
      </w:r>
    </w:p>
    <w:p>
      <w:pPr>
        <w:numPr>
          <w:ilvl w:val="0"/>
          <w:numId w:val="0"/>
        </w:numPr>
        <w:ind w:firstLine="560" w:firstLineChars="200"/>
        <w:jc w:val="both"/>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（一）个人赛裁判组</w:t>
      </w:r>
    </w:p>
    <w:p>
      <w:pPr>
        <w:numPr>
          <w:ilvl w:val="0"/>
          <w:numId w:val="0"/>
        </w:numPr>
        <w:ind w:firstLine="560" w:firstLineChars="200"/>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由竞赛组委会办公室按照公平、公正原则建立裁判组，包含高校人力资源管理相关专业资深教师团队、企业人力资源管理师高级考评员等。设置裁判组长1名。</w:t>
      </w:r>
    </w:p>
    <w:p>
      <w:pPr>
        <w:numPr>
          <w:ilvl w:val="0"/>
          <w:numId w:val="0"/>
        </w:numPr>
        <w:ind w:firstLine="560" w:firstLineChars="200"/>
        <w:jc w:val="both"/>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（二）团体赛专家评委</w:t>
      </w:r>
    </w:p>
    <w:p>
      <w:pPr>
        <w:numPr>
          <w:ilvl w:val="0"/>
          <w:numId w:val="0"/>
        </w:numPr>
        <w:ind w:firstLine="560" w:firstLineChars="200"/>
        <w:jc w:val="both"/>
        <w:rPr>
          <w:rFonts w:hint="default" w:ascii="黑体" w:eastAsia="黑体"/>
          <w:sz w:val="28"/>
          <w:lang w:val="en-US" w:eastAsia="zh-CN"/>
        </w:rPr>
      </w:pPr>
      <w:r>
        <w:rPr>
          <w:rFonts w:hint="eastAsia" w:ascii="仿宋_GB2312" w:hAnsi="仿宋_GB2312" w:eastAsia="仿宋_GB2312" w:cs="仿宋_GB2312"/>
          <w:sz w:val="28"/>
          <w:szCs w:val="28"/>
          <w:lang w:val="en-US" w:eastAsia="zh-CN"/>
        </w:rPr>
        <w:t>由竞赛组委会办公室按照公平、公正原则建立专家评委库，包括相关专家学者、高校人力资源相关专业教师、人力资源服务机构代表、创新创业投融资专家、企业人力资源管理负责人等。设置专家组长1名。</w:t>
      </w:r>
    </w:p>
    <w:p>
      <w:pPr>
        <w:numPr>
          <w:ilvl w:val="0"/>
          <w:numId w:val="0"/>
        </w:numPr>
        <w:ind w:firstLine="560" w:firstLineChars="200"/>
        <w:jc w:val="both"/>
        <w:rPr>
          <w:rFonts w:hint="default" w:ascii="黑体" w:eastAsia="黑体"/>
          <w:sz w:val="28"/>
          <w:lang w:val="en-US" w:eastAsia="zh-CN"/>
        </w:rPr>
      </w:pPr>
      <w:r>
        <w:rPr>
          <w:rFonts w:hint="eastAsia" w:ascii="黑体" w:eastAsia="黑体"/>
          <w:sz w:val="28"/>
          <w:lang w:val="en-US" w:eastAsia="zh-CN"/>
        </w:rPr>
        <w:t>五、竞赛纪律</w:t>
      </w:r>
    </w:p>
    <w:p>
      <w:pPr>
        <w:spacing w:line="240" w:lineRule="auto"/>
        <w:ind w:firstLine="562" w:firstLineChars="200"/>
        <w:rPr>
          <w:rFonts w:hint="default" w:ascii="仿宋_GB2312" w:eastAsia="仿宋_GB2312"/>
          <w:b/>
          <w:bCs/>
          <w:sz w:val="28"/>
          <w:lang w:val="en-US" w:eastAsia="zh-CN"/>
        </w:rPr>
      </w:pPr>
      <w:r>
        <w:rPr>
          <w:rFonts w:hint="eastAsia" w:ascii="仿宋_GB2312" w:eastAsia="仿宋_GB2312"/>
          <w:b/>
          <w:bCs/>
          <w:sz w:val="28"/>
          <w:lang w:val="en-US" w:eastAsia="zh-CN"/>
        </w:rPr>
        <w:t>（一）个人赛</w:t>
      </w:r>
    </w:p>
    <w:p>
      <w:pPr>
        <w:spacing w:line="24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选手须持本人身份证和</w:t>
      </w:r>
      <w:r>
        <w:rPr>
          <w:rFonts w:hint="eastAsia" w:ascii="仿宋_GB2312" w:hAnsi="仿宋_GB2312" w:eastAsia="仿宋_GB2312" w:cs="仿宋_GB2312"/>
          <w:sz w:val="28"/>
          <w:szCs w:val="28"/>
          <w:lang w:eastAsia="zh-CN"/>
        </w:rPr>
        <w:t>竞赛</w:t>
      </w:r>
      <w:r>
        <w:rPr>
          <w:rFonts w:hint="eastAsia" w:ascii="仿宋_GB2312" w:hAnsi="仿宋_GB2312" w:eastAsia="仿宋_GB2312" w:cs="仿宋_GB2312"/>
          <w:sz w:val="28"/>
          <w:szCs w:val="28"/>
        </w:rPr>
        <w:t>组委会签发的参赛证进入</w:t>
      </w:r>
      <w:r>
        <w:rPr>
          <w:rFonts w:hint="eastAsia" w:ascii="仿宋_GB2312" w:hAnsi="仿宋_GB2312" w:eastAsia="仿宋_GB2312" w:cs="仿宋_GB2312"/>
          <w:sz w:val="28"/>
          <w:szCs w:val="28"/>
          <w:lang w:val="en-US" w:eastAsia="zh-CN"/>
        </w:rPr>
        <w:t>赛</w:t>
      </w:r>
      <w:r>
        <w:rPr>
          <w:rFonts w:hint="eastAsia" w:ascii="仿宋_GB2312" w:hAnsi="仿宋_GB2312" w:eastAsia="仿宋_GB2312" w:cs="仿宋_GB2312"/>
          <w:sz w:val="28"/>
          <w:szCs w:val="28"/>
        </w:rPr>
        <w:t>场。</w:t>
      </w:r>
    </w:p>
    <w:p>
      <w:pPr>
        <w:spacing w:line="24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选手必须按竞赛时间提前</w:t>
      </w:r>
      <w:r>
        <w:rPr>
          <w:rFonts w:hint="eastAsia" w:ascii="仿宋_GB2312" w:hAnsi="仿宋_GB2312" w:eastAsia="仿宋_GB2312" w:cs="仿宋_GB2312"/>
          <w:sz w:val="28"/>
          <w:szCs w:val="28"/>
          <w:lang w:val="en-US" w:eastAsia="zh-CN"/>
        </w:rPr>
        <w:t>30</w:t>
      </w:r>
      <w:r>
        <w:rPr>
          <w:rFonts w:hint="eastAsia" w:ascii="仿宋_GB2312" w:hAnsi="仿宋_GB2312" w:eastAsia="仿宋_GB2312" w:cs="仿宋_GB2312"/>
          <w:sz w:val="28"/>
          <w:szCs w:val="28"/>
        </w:rPr>
        <w:t>分钟检录进入考场，并</w:t>
      </w:r>
      <w:r>
        <w:rPr>
          <w:rFonts w:hint="eastAsia" w:ascii="仿宋_GB2312" w:hAnsi="仿宋_GB2312" w:eastAsia="仿宋_GB2312" w:cs="仿宋_GB2312"/>
          <w:sz w:val="28"/>
          <w:szCs w:val="28"/>
          <w:lang w:val="en-US" w:eastAsia="zh-CN"/>
        </w:rPr>
        <w:t>就座于指定位置</w:t>
      </w:r>
      <w:r>
        <w:rPr>
          <w:rFonts w:hint="eastAsia" w:ascii="仿宋_GB2312" w:hAnsi="仿宋_GB2312" w:eastAsia="仿宋_GB2312" w:cs="仿宋_GB2312"/>
          <w:sz w:val="28"/>
          <w:szCs w:val="28"/>
        </w:rPr>
        <w:t>参赛。</w:t>
      </w:r>
      <w:r>
        <w:rPr>
          <w:rFonts w:hint="eastAsia" w:ascii="仿宋_GB2312" w:hAnsi="仿宋_GB2312" w:eastAsia="仿宋_GB2312" w:cs="仿宋_GB2312"/>
          <w:sz w:val="28"/>
          <w:szCs w:val="28"/>
          <w:lang w:val="en-US" w:eastAsia="zh-CN"/>
        </w:rPr>
        <w:t>竞赛开始后</w:t>
      </w:r>
      <w:r>
        <w:rPr>
          <w:rFonts w:hint="eastAsia" w:ascii="仿宋_GB2312" w:hAnsi="仿宋_GB2312" w:eastAsia="仿宋_GB2312" w:cs="仿宋_GB2312"/>
          <w:sz w:val="28"/>
          <w:szCs w:val="28"/>
        </w:rPr>
        <w:t>迟到15分钟者不得</w:t>
      </w:r>
      <w:r>
        <w:rPr>
          <w:rFonts w:hint="eastAsia" w:ascii="仿宋_GB2312" w:hAnsi="仿宋_GB2312" w:eastAsia="仿宋_GB2312" w:cs="仿宋_GB2312"/>
          <w:sz w:val="28"/>
          <w:szCs w:val="28"/>
          <w:lang w:val="en-US" w:eastAsia="zh-CN"/>
        </w:rPr>
        <w:t>入场</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成绩以零分计算，开赛满</w:t>
      </w:r>
      <w:r>
        <w:rPr>
          <w:rFonts w:hint="eastAsia" w:ascii="仿宋_GB2312" w:hAnsi="仿宋_GB2312" w:eastAsia="仿宋_GB2312" w:cs="仿宋_GB2312"/>
          <w:sz w:val="28"/>
          <w:szCs w:val="28"/>
        </w:rPr>
        <w:t>30分钟</w:t>
      </w:r>
      <w:r>
        <w:rPr>
          <w:rFonts w:hint="eastAsia" w:ascii="仿宋_GB2312" w:hAnsi="仿宋_GB2312" w:eastAsia="仿宋_GB2312" w:cs="仿宋_GB2312"/>
          <w:sz w:val="28"/>
          <w:szCs w:val="28"/>
          <w:lang w:val="en-US" w:eastAsia="zh-CN"/>
        </w:rPr>
        <w:t>后可在竞赛答题系统内点击交卷，交卷成功后方可</w:t>
      </w:r>
      <w:r>
        <w:rPr>
          <w:rFonts w:hint="eastAsia" w:ascii="仿宋_GB2312" w:hAnsi="仿宋_GB2312" w:eastAsia="仿宋_GB2312" w:cs="仿宋_GB2312"/>
          <w:sz w:val="28"/>
          <w:szCs w:val="28"/>
        </w:rPr>
        <w:t>离开赛场。</w:t>
      </w:r>
    </w:p>
    <w:p>
      <w:pPr>
        <w:spacing w:line="24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选手应严格遵守赛场纪律，不准带入任何技术资料</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工具书</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电子产品等</w:t>
      </w:r>
      <w:r>
        <w:rPr>
          <w:rFonts w:hint="eastAsia" w:ascii="仿宋_GB2312" w:hAnsi="仿宋_GB2312" w:eastAsia="仿宋_GB2312" w:cs="仿宋_GB2312"/>
          <w:sz w:val="28"/>
          <w:szCs w:val="28"/>
        </w:rPr>
        <w:t>。所有通讯工具一律不得带入竞赛现场。</w:t>
      </w:r>
    </w:p>
    <w:p>
      <w:pPr>
        <w:spacing w:line="24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选手</w:t>
      </w:r>
      <w:r>
        <w:rPr>
          <w:rFonts w:hint="eastAsia" w:ascii="仿宋_GB2312" w:hAnsi="仿宋_GB2312" w:eastAsia="仿宋_GB2312" w:cs="仿宋_GB2312"/>
          <w:sz w:val="28"/>
          <w:szCs w:val="28"/>
          <w:lang w:val="en-US" w:eastAsia="zh-CN"/>
        </w:rPr>
        <w:t>输入身份证号进入答题界面，答题内容</w:t>
      </w:r>
      <w:r>
        <w:rPr>
          <w:rFonts w:hint="eastAsia" w:ascii="仿宋_GB2312" w:hAnsi="仿宋_GB2312" w:eastAsia="仿宋_GB2312" w:cs="仿宋_GB2312"/>
          <w:sz w:val="28"/>
          <w:szCs w:val="28"/>
        </w:rPr>
        <w:t>不得有任何暗示选手身份的记号或符号，否则取消成绩。</w:t>
      </w:r>
    </w:p>
    <w:p>
      <w:pPr>
        <w:spacing w:line="240" w:lineRule="auto"/>
        <w:ind w:firstLine="560" w:firstLineChars="200"/>
        <w:rPr>
          <w:rFonts w:hint="default" w:eastAsia="黑体"/>
          <w:lang w:val="en-US" w:eastAsia="zh-CN"/>
        </w:rPr>
      </w:pPr>
      <w:r>
        <w:rPr>
          <w:rFonts w:hint="eastAsia" w:ascii="仿宋_GB2312" w:hAnsi="仿宋_GB2312" w:eastAsia="仿宋_GB2312" w:cs="仿宋_GB2312"/>
          <w:sz w:val="28"/>
          <w:szCs w:val="28"/>
          <w:lang w:val="en-US" w:eastAsia="zh-CN"/>
        </w:rPr>
        <w:t>5.竞</w:t>
      </w:r>
      <w:r>
        <w:rPr>
          <w:rFonts w:hint="eastAsia" w:ascii="仿宋_GB2312" w:hAnsi="仿宋_GB2312" w:eastAsia="仿宋_GB2312" w:cs="仿宋_GB2312"/>
          <w:sz w:val="28"/>
          <w:szCs w:val="28"/>
        </w:rPr>
        <w:t>赛过程中，选手若需去洗手间，</w:t>
      </w:r>
      <w:r>
        <w:rPr>
          <w:rFonts w:hint="eastAsia" w:ascii="仿宋_GB2312" w:hAnsi="仿宋_GB2312" w:eastAsia="仿宋_GB2312" w:cs="仿宋_GB2312"/>
          <w:sz w:val="28"/>
          <w:szCs w:val="28"/>
          <w:lang w:val="en-US" w:eastAsia="zh-CN"/>
        </w:rPr>
        <w:t>须由一名同性监考人员陪同，时间</w:t>
      </w:r>
      <w:r>
        <w:rPr>
          <w:rFonts w:hint="eastAsia" w:ascii="仿宋_GB2312" w:hAnsi="仿宋_GB2312" w:eastAsia="仿宋_GB2312" w:cs="仿宋_GB2312"/>
          <w:sz w:val="28"/>
          <w:szCs w:val="28"/>
        </w:rPr>
        <w:t>计算在</w:t>
      </w:r>
      <w:r>
        <w:rPr>
          <w:rFonts w:hint="eastAsia" w:ascii="仿宋_GB2312" w:hAnsi="仿宋_GB2312" w:eastAsia="仿宋_GB2312" w:cs="仿宋_GB2312"/>
          <w:sz w:val="28"/>
          <w:szCs w:val="28"/>
          <w:lang w:val="en-US" w:eastAsia="zh-CN"/>
        </w:rPr>
        <w:t>竞赛</w:t>
      </w:r>
      <w:r>
        <w:rPr>
          <w:rFonts w:hint="eastAsia" w:ascii="仿宋_GB2312" w:hAnsi="仿宋_GB2312" w:eastAsia="仿宋_GB2312" w:cs="仿宋_GB2312"/>
          <w:sz w:val="28"/>
          <w:szCs w:val="28"/>
        </w:rPr>
        <w:t>时间内。</w:t>
      </w:r>
    </w:p>
    <w:p>
      <w:pPr>
        <w:spacing w:line="240" w:lineRule="auto"/>
        <w:ind w:firstLine="551" w:firstLineChars="196"/>
        <w:rPr>
          <w:rFonts w:hint="default" w:ascii="仿宋_GB2312" w:hAnsi="仿宋_GB2312" w:eastAsia="仿宋_GB2312" w:cs="仿宋_GB2312"/>
          <w:b/>
          <w:bCs/>
          <w:sz w:val="28"/>
          <w:lang w:val="en-US" w:eastAsia="zh-CN"/>
        </w:rPr>
      </w:pPr>
      <w:r>
        <w:rPr>
          <w:rFonts w:hint="eastAsia" w:ascii="仿宋_GB2312" w:hAnsi="仿宋_GB2312" w:eastAsia="仿宋_GB2312" w:cs="仿宋_GB2312"/>
          <w:b/>
          <w:bCs/>
          <w:sz w:val="28"/>
          <w:lang w:val="en-US" w:eastAsia="zh-CN"/>
        </w:rPr>
        <w:t>（二）团体赛</w:t>
      </w:r>
    </w:p>
    <w:p>
      <w:pPr>
        <w:spacing w:line="24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（1）选手须提前30分钟到场完成签到，在指定区域按照抽签顺序就座。</w:t>
      </w:r>
    </w:p>
    <w:p>
      <w:pPr>
        <w:spacing w:line="24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（2）团体赛开始后代表队选手按照抽签顺序依次上场抽题、答题。</w:t>
      </w:r>
    </w:p>
    <w:p>
      <w:pPr>
        <w:spacing w:line="240" w:lineRule="auto"/>
        <w:ind w:firstLine="560" w:firstLineChars="20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（3）竞赛现场应服从赛程安排、遵守赛场纪律。</w:t>
      </w:r>
    </w:p>
    <w:p>
      <w:pPr>
        <w:spacing w:line="240" w:lineRule="auto"/>
        <w:ind w:firstLine="551" w:firstLineChars="196"/>
        <w:rPr>
          <w:rFonts w:hint="default" w:ascii="仿宋_GB2312" w:hAnsi="仿宋_GB2312" w:eastAsia="仿宋_GB2312" w:cs="仿宋_GB2312"/>
          <w:b/>
          <w:bCs/>
          <w:sz w:val="28"/>
          <w:lang w:val="en-US" w:eastAsia="zh-CN"/>
        </w:rPr>
      </w:pPr>
      <w:r>
        <w:rPr>
          <w:rFonts w:hint="eastAsia" w:ascii="仿宋_GB2312" w:hAnsi="仿宋_GB2312" w:eastAsia="仿宋_GB2312" w:cs="仿宋_GB2312"/>
          <w:b/>
          <w:bCs/>
          <w:sz w:val="28"/>
          <w:lang w:val="en-US" w:eastAsia="zh-CN"/>
        </w:rPr>
        <w:t>（三）争议处理</w:t>
      </w:r>
    </w:p>
    <w:p>
      <w:pPr>
        <w:spacing w:line="240" w:lineRule="auto"/>
        <w:ind w:firstLine="560" w:firstLineChars="20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1.竞赛设置仲裁组，负责在竞赛过程中解答参赛选手的疑问，解决质疑。</w:t>
      </w:r>
    </w:p>
    <w:p>
      <w:pPr>
        <w:spacing w:line="24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2.经裁判长确认签字后的评判成绩除分数统计、计算错误外，原则上不得再次修改。</w:t>
      </w:r>
    </w:p>
    <w:p>
      <w:pPr>
        <w:spacing w:line="240" w:lineRule="auto"/>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sz w:val="28"/>
          <w:szCs w:val="28"/>
          <w:lang w:val="en-US" w:eastAsia="zh-CN"/>
        </w:rPr>
        <w:t>3.如有参赛选手存在疑问或需查阅分数，应由各代表队领队填写《仲</w:t>
      </w:r>
      <w:r>
        <w:rPr>
          <w:rFonts w:hint="eastAsia" w:ascii="仿宋_GB2312" w:hAnsi="仿宋_GB2312" w:eastAsia="仿宋_GB2312" w:cs="仿宋_GB2312"/>
          <w:color w:val="auto"/>
          <w:sz w:val="28"/>
          <w:szCs w:val="28"/>
          <w:lang w:val="en-US" w:eastAsia="zh-CN"/>
        </w:rPr>
        <w:t>裁申请表》（附件5），由申请查分的参赛选手、领队签名后送仲裁组审批，审批成功后即可查阅。</w:t>
      </w:r>
    </w:p>
    <w:p>
      <w:pPr>
        <w:spacing w:line="240" w:lineRule="auto"/>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 xml:space="preserve">4.参赛选手如对竞赛结果有异议，应在当轮竞赛结束后1小时内通过参赛代表队领队，按照规定时限向仲裁组递交书面报告，超过时效将不予受理。报告应对陈述发生事件的现场、发生的时间、涉及到的人员、请求依据与理由等进行充分、实事求是地叙述。事实依据不充分、凭主观臆断的申诉将不予受理。申诉报告须有参赛选手、领队签名。赛事仲裁委员会收到报告后，应根据报告的事由进行审查并告知处理结果。 </w:t>
      </w:r>
    </w:p>
    <w:p>
      <w:pPr>
        <w:spacing w:line="24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5.仲裁组的裁决为最终裁决，申诉人不得无故拒不接受处理结果，不允许采取过激行为刁难、攻击工作人员，否则视为放弃申诉。</w:t>
      </w:r>
    </w:p>
    <w:p>
      <w:pPr>
        <w:pStyle w:val="2"/>
        <w:jc w:val="both"/>
        <w:rPr>
          <w:rFonts w:hint="eastAsia" w:ascii="仿宋_GB2312" w:hAnsi="仿宋_GB2312" w:eastAsia="仿宋_GB2312" w:cs="仿宋_GB2312"/>
          <w:b w:val="0"/>
          <w:bCs w:val="0"/>
          <w:kern w:val="2"/>
          <w:sz w:val="28"/>
          <w:szCs w:val="28"/>
          <w:lang w:val="en-US" w:eastAsia="zh-CN" w:bidi="ar-SA"/>
        </w:rPr>
      </w:pPr>
    </w:p>
    <w:p>
      <w:pPr>
        <w:pStyle w:val="2"/>
        <w:ind w:left="0" w:leftChars="0" w:firstLine="560" w:firstLineChars="200"/>
        <w:jc w:val="both"/>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2"/>
          <w:sz w:val="28"/>
          <w:szCs w:val="28"/>
          <w:lang w:val="en-US" w:eastAsia="zh-CN" w:bidi="ar-SA"/>
        </w:rPr>
        <w:t>附件：</w:t>
      </w:r>
      <w:r>
        <w:rPr>
          <w:rFonts w:hint="eastAsia" w:ascii="仿宋_GB2312" w:hAnsi="仿宋_GB2312" w:eastAsia="仿宋_GB2312" w:cs="仿宋_GB2312"/>
          <w:b w:val="0"/>
          <w:bCs w:val="0"/>
          <w:sz w:val="28"/>
          <w:szCs w:val="28"/>
          <w:lang w:val="en-US" w:eastAsia="zh-CN"/>
        </w:rPr>
        <w:t>1.</w:t>
      </w:r>
      <w:r>
        <w:rPr>
          <w:rFonts w:hint="eastAsia" w:ascii="仿宋_GB2312" w:hAnsi="仿宋_GB2312" w:eastAsia="仿宋_GB2312" w:cs="仿宋_GB2312"/>
          <w:b w:val="0"/>
          <w:bCs w:val="0"/>
          <w:sz w:val="28"/>
          <w:szCs w:val="28"/>
        </w:rPr>
        <w:t>竞赛大纲</w:t>
      </w:r>
    </w:p>
    <w:p>
      <w:pPr>
        <w:pStyle w:val="2"/>
        <w:ind w:firstLine="1400" w:firstLineChars="500"/>
        <w:jc w:val="both"/>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t>参考样题</w:t>
      </w:r>
    </w:p>
    <w:p>
      <w:pPr>
        <w:spacing w:line="240" w:lineRule="auto"/>
        <w:ind w:firstLine="1400" w:firstLineChars="500"/>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3.</w:t>
      </w:r>
      <w:r>
        <w:rPr>
          <w:rFonts w:hint="eastAsia" w:ascii="仿宋_GB2312" w:hAnsi="仿宋_GB2312" w:eastAsia="仿宋_GB2312" w:cs="仿宋_GB2312"/>
          <w:sz w:val="28"/>
          <w:szCs w:val="28"/>
          <w:lang w:val="en-US" w:eastAsia="zh-CN"/>
        </w:rPr>
        <w:t>创新创业项目推荐表及商业计划书模板</w:t>
      </w:r>
    </w:p>
    <w:p>
      <w:pPr>
        <w:spacing w:line="240" w:lineRule="auto"/>
        <w:ind w:firstLine="1400" w:firstLineChars="500"/>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4.创新创业项目评分指标</w:t>
      </w:r>
    </w:p>
    <w:p>
      <w:pPr>
        <w:spacing w:line="240" w:lineRule="auto"/>
        <w:ind w:firstLine="1400" w:firstLineChars="50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5.仲裁申请表</w:t>
      </w:r>
    </w:p>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19680A"/>
    <w:multiLevelType w:val="singleLevel"/>
    <w:tmpl w:val="E619680A"/>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jMzMxNDA2ODQ0MTMyZTIwM2YxZGYxMTgzZjE0ODYifQ=="/>
  </w:docVars>
  <w:rsids>
    <w:rsidRoot w:val="376D1F86"/>
    <w:rsid w:val="376D1F86"/>
    <w:rsid w:val="7FF20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9"/>
    <w:pPr>
      <w:keepNext/>
      <w:keepLines/>
      <w:snapToGrid w:val="0"/>
      <w:spacing w:line="360" w:lineRule="auto"/>
      <w:ind w:firstLine="200" w:firstLineChars="200"/>
      <w:outlineLvl w:val="0"/>
    </w:pPr>
    <w:rPr>
      <w:rFonts w:eastAsia="黑体"/>
      <w:b/>
      <w:bCs/>
      <w:kern w:val="44"/>
      <w:sz w:val="32"/>
      <w:szCs w:val="32"/>
    </w:rPr>
  </w:style>
  <w:style w:type="character" w:default="1" w:styleId="12">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w:basedOn w:val="1"/>
    <w:next w:val="4"/>
    <w:unhideWhenUsed/>
    <w:qFormat/>
    <w:uiPriority w:val="0"/>
    <w:pPr>
      <w:jc w:val="center"/>
    </w:pPr>
    <w:rPr>
      <w:rFonts w:hint="default"/>
      <w:b/>
      <w:color w:val="FF0000"/>
      <w:sz w:val="44"/>
      <w:szCs w:val="24"/>
    </w:rPr>
  </w:style>
  <w:style w:type="paragraph" w:styleId="4">
    <w:name w:val="toc 5"/>
    <w:basedOn w:val="1"/>
    <w:next w:val="1"/>
    <w:unhideWhenUsed/>
    <w:qFormat/>
    <w:uiPriority w:val="0"/>
    <w:pPr>
      <w:ind w:left="1680" w:leftChars="800"/>
    </w:pPr>
    <w:rPr>
      <w:rFonts w:ascii="Times New Roman" w:hAnsi="Times New Roman" w:eastAsia="仿宋_GB2312"/>
      <w:sz w:val="28"/>
    </w:rPr>
  </w:style>
  <w:style w:type="paragraph" w:styleId="5">
    <w:name w:val="Body Text Indent"/>
    <w:basedOn w:val="1"/>
    <w:qFormat/>
    <w:uiPriority w:val="0"/>
    <w:pPr>
      <w:spacing w:after="120" w:afterLines="0" w:afterAutospacing="0"/>
      <w:ind w:left="420" w:leftChars="200"/>
    </w:p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Body Text First Indent 2"/>
    <w:basedOn w:val="5"/>
    <w:qFormat/>
    <w:uiPriority w:val="0"/>
    <w:pPr>
      <w:ind w:firstLine="420" w:firstLine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2794</Words>
  <Characters>2870</Characters>
  <Lines>0</Lines>
  <Paragraphs>0</Paragraphs>
  <TotalTime>0</TotalTime>
  <ScaleCrop>false</ScaleCrop>
  <LinksUpToDate>false</LinksUpToDate>
  <CharactersWithSpaces>2871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2024-05-28T03:48:00Z</dcterms:created>
  <dc:creator>_熊猫</dc:creator>
  <cp:lastModifiedBy>_熊猫</cp:lastModifiedBy>
  <dcterms:modified xsi:type="dcterms:W3CDTF">2024-05-28T03:51:07Z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B87EE7211A124D45B697EF5825F7444B_11</vt:lpwstr>
  </property>
</Properties>
</file>